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F22" w:rsidRPr="00CA5F22" w:rsidRDefault="00CA5F22" w:rsidP="00CB1A0F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Calibri" w:hAnsi="Times New Roman" w:cs="Times New Roman"/>
          <w:szCs w:val="24"/>
        </w:rPr>
      </w:pPr>
      <w:r w:rsidRPr="00CA5F22">
        <w:rPr>
          <w:rFonts w:ascii="Times New Roman" w:eastAsia="Calibri" w:hAnsi="Times New Roman" w:cs="Times New Roman"/>
          <w:szCs w:val="24"/>
        </w:rPr>
        <w:t>Приложение № 1</w:t>
      </w:r>
    </w:p>
    <w:p w:rsidR="00CA5F22" w:rsidRPr="00CA5F22" w:rsidRDefault="00CA5F22" w:rsidP="00CA5F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Cs w:val="24"/>
        </w:rPr>
      </w:pPr>
    </w:p>
    <w:p w:rsidR="00CA5F22" w:rsidRPr="00CA5F22" w:rsidRDefault="00CA5F22" w:rsidP="00CA5F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Cs w:val="24"/>
        </w:rPr>
      </w:pPr>
      <w:r w:rsidRPr="00CA5F22">
        <w:rPr>
          <w:rFonts w:ascii="Times New Roman" w:eastAsia="Calibri" w:hAnsi="Times New Roman" w:cs="Times New Roman"/>
          <w:b/>
          <w:bCs/>
          <w:szCs w:val="24"/>
        </w:rPr>
        <w:t>Информационная карта конкурсного заявления</w:t>
      </w:r>
    </w:p>
    <w:p w:rsidR="00CA5F22" w:rsidRPr="00CA5F22" w:rsidRDefault="00CA5F22" w:rsidP="00CA5F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Cs w:val="24"/>
        </w:rPr>
      </w:pPr>
    </w:p>
    <w:p w:rsidR="00CA5F22" w:rsidRPr="00CA5F22" w:rsidRDefault="00CA5F22" w:rsidP="00CA5F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CA5F22">
        <w:rPr>
          <w:rFonts w:ascii="Times New Roman" w:eastAsia="Calibri" w:hAnsi="Times New Roman" w:cs="Times New Roman"/>
          <w:szCs w:val="24"/>
        </w:rPr>
        <w:t>Информационная карта содержит необходимые конкретные данные для подготовки и представления конкурсной заявки.</w:t>
      </w:r>
    </w:p>
    <w:p w:rsidR="00CA5F22" w:rsidRPr="00CA5F22" w:rsidRDefault="00CA5F22" w:rsidP="00CA5F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Cs w:val="24"/>
        </w:rPr>
      </w:pPr>
    </w:p>
    <w:tbl>
      <w:tblPr>
        <w:tblW w:w="10015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296"/>
        <w:gridCol w:w="8719"/>
      </w:tblGrid>
      <w:tr w:rsidR="00CA5F22" w:rsidRPr="00CA5F22" w:rsidTr="00CA5F22">
        <w:trPr>
          <w:trHeight w:val="540"/>
          <w:tblCellSpacing w:w="5" w:type="nil"/>
        </w:trPr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 xml:space="preserve">Ссылки на пункты Положения </w:t>
            </w:r>
          </w:p>
        </w:tc>
        <w:tc>
          <w:tcPr>
            <w:tcW w:w="8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Наименование</w:t>
            </w:r>
          </w:p>
        </w:tc>
      </w:tr>
      <w:tr w:rsidR="00CA5F22" w:rsidRPr="00CA5F22" w:rsidTr="00CA5F22">
        <w:trPr>
          <w:tblCellSpacing w:w="5" w:type="nil"/>
        </w:trPr>
        <w:tc>
          <w:tcPr>
            <w:tcW w:w="1001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ОБЩИЕ СВЕДЕНИЯ</w:t>
            </w:r>
          </w:p>
        </w:tc>
      </w:tr>
      <w:tr w:rsidR="00CA5F22" w:rsidRPr="00CA5F22" w:rsidTr="00CA5F22">
        <w:trPr>
          <w:tblCellSpacing w:w="5" w:type="nil"/>
        </w:trPr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F22" w:rsidRPr="00CA5F22" w:rsidRDefault="00CA5F22" w:rsidP="00C7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firstLine="283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Наименование заказчика: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C72749">
              <w:rPr>
                <w:rFonts w:ascii="Times New Roman" w:eastAsia="Calibri" w:hAnsi="Times New Roman" w:cs="Times New Roman"/>
                <w:szCs w:val="24"/>
              </w:rPr>
              <w:t xml:space="preserve">Публичное </w:t>
            </w:r>
            <w:r>
              <w:rPr>
                <w:rFonts w:ascii="Times New Roman" w:eastAsia="Calibri" w:hAnsi="Times New Roman" w:cs="Times New Roman"/>
                <w:szCs w:val="24"/>
              </w:rPr>
              <w:t>акционерное общество «Тульский оружейный завод»</w:t>
            </w:r>
          </w:p>
        </w:tc>
      </w:tr>
      <w:tr w:rsidR="00CA5F22" w:rsidRPr="00CA5F22" w:rsidTr="00CA5F22">
        <w:trPr>
          <w:tblCellSpacing w:w="5" w:type="nil"/>
        </w:trPr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firstLine="283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Юридический адрес заказчика: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300002, г. Тула, ул. Советская, д. 1А</w:t>
            </w:r>
          </w:p>
        </w:tc>
      </w:tr>
      <w:tr w:rsidR="00CA5F22" w:rsidRPr="00CA5F22" w:rsidTr="00CA5F22">
        <w:trPr>
          <w:tblCellSpacing w:w="5" w:type="nil"/>
        </w:trPr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firstLine="283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Почтовый адрес заказчика: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CA5F22">
              <w:rPr>
                <w:rFonts w:ascii="Times New Roman" w:eastAsia="Calibri" w:hAnsi="Times New Roman" w:cs="Times New Roman"/>
                <w:szCs w:val="24"/>
              </w:rPr>
              <w:t>300002, г. Тула, ул. Советская, д. 1А</w:t>
            </w:r>
          </w:p>
        </w:tc>
      </w:tr>
      <w:tr w:rsidR="00CA5F22" w:rsidRPr="00CA5F22" w:rsidTr="00CA5F22">
        <w:trPr>
          <w:trHeight w:val="360"/>
          <w:tblCellSpacing w:w="5" w:type="nil"/>
        </w:trPr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firstLine="283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Адрес для предоставления конкурсных заявлений: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CA5F22">
              <w:rPr>
                <w:rFonts w:ascii="Times New Roman" w:eastAsia="Calibri" w:hAnsi="Times New Roman" w:cs="Times New Roman"/>
                <w:szCs w:val="24"/>
              </w:rPr>
              <w:t>300002, г. Тула, ул. Советская, д. 1А</w:t>
            </w:r>
          </w:p>
          <w:p w:rsidR="00CA5F22" w:rsidRPr="00CA5F22" w:rsidRDefault="00CA5F22" w:rsidP="00C7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firstLine="283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Телефон для справок: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+7(4872) 32-1</w:t>
            </w:r>
            <w:r w:rsidR="00C72749">
              <w:rPr>
                <w:rFonts w:ascii="Times New Roman" w:eastAsia="Calibri" w:hAnsi="Times New Roman" w:cs="Times New Roman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Cs w:val="24"/>
              </w:rPr>
              <w:t>-</w:t>
            </w:r>
            <w:r w:rsidR="00C72749">
              <w:rPr>
                <w:rFonts w:ascii="Times New Roman" w:eastAsia="Calibri" w:hAnsi="Times New Roman" w:cs="Times New Roman"/>
                <w:szCs w:val="24"/>
              </w:rPr>
              <w:t>27</w:t>
            </w:r>
          </w:p>
        </w:tc>
      </w:tr>
      <w:tr w:rsidR="00CA5F22" w:rsidRPr="00CA5F22" w:rsidTr="00CA5F22">
        <w:trPr>
          <w:trHeight w:val="540"/>
          <w:tblCellSpacing w:w="5" w:type="nil"/>
        </w:trPr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1.1</w:t>
            </w:r>
          </w:p>
        </w:tc>
        <w:tc>
          <w:tcPr>
            <w:tcW w:w="8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firstLine="283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Предмет конкурса:</w:t>
            </w:r>
          </w:p>
          <w:p w:rsidR="00CA5F22" w:rsidRPr="00CA5F22" w:rsidRDefault="00CA5F22" w:rsidP="00C7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firstLine="283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 xml:space="preserve">проведение обязательного ежегодного аудита </w:t>
            </w:r>
            <w:r w:rsidR="00C72749">
              <w:rPr>
                <w:rFonts w:ascii="Times New Roman" w:eastAsia="Calibri" w:hAnsi="Times New Roman" w:cs="Times New Roman"/>
                <w:szCs w:val="24"/>
              </w:rPr>
              <w:t>П</w:t>
            </w:r>
            <w:r w:rsidRPr="00CA5F22">
              <w:rPr>
                <w:rFonts w:ascii="Times New Roman" w:eastAsia="Calibri" w:hAnsi="Times New Roman" w:cs="Times New Roman"/>
                <w:szCs w:val="24"/>
              </w:rPr>
              <w:t>АО «Тульский оружейный завод» за 20</w:t>
            </w:r>
            <w:r>
              <w:rPr>
                <w:rFonts w:ascii="Times New Roman" w:eastAsia="Calibri" w:hAnsi="Times New Roman" w:cs="Times New Roman"/>
                <w:szCs w:val="24"/>
              </w:rPr>
              <w:t>1</w:t>
            </w:r>
            <w:r w:rsidR="00C72749">
              <w:rPr>
                <w:rFonts w:ascii="Times New Roman" w:eastAsia="Calibri" w:hAnsi="Times New Roman" w:cs="Times New Roman"/>
                <w:szCs w:val="24"/>
              </w:rPr>
              <w:t>7</w:t>
            </w:r>
            <w:r w:rsidRPr="00CA5F22">
              <w:rPr>
                <w:rFonts w:ascii="Times New Roman" w:eastAsia="Calibri" w:hAnsi="Times New Roman" w:cs="Times New Roman"/>
                <w:szCs w:val="24"/>
              </w:rPr>
              <w:t xml:space="preserve"> год</w:t>
            </w:r>
          </w:p>
        </w:tc>
      </w:tr>
      <w:tr w:rsidR="00CA5F22" w:rsidRPr="00CA5F22" w:rsidTr="00CA5F22">
        <w:trPr>
          <w:tblCellSpacing w:w="5" w:type="nil"/>
        </w:trPr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1.2</w:t>
            </w:r>
          </w:p>
        </w:tc>
        <w:tc>
          <w:tcPr>
            <w:tcW w:w="8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firstLine="283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Вид конкурса: открытый</w:t>
            </w:r>
          </w:p>
        </w:tc>
      </w:tr>
      <w:tr w:rsidR="00CA5F22" w:rsidRPr="00CA5F22" w:rsidTr="00CA5F22">
        <w:trPr>
          <w:tblCellSpacing w:w="5" w:type="nil"/>
        </w:trPr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1.3</w:t>
            </w:r>
          </w:p>
        </w:tc>
        <w:tc>
          <w:tcPr>
            <w:tcW w:w="8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F22" w:rsidRPr="00CA5F22" w:rsidRDefault="00CA5F22" w:rsidP="00C7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firstLine="283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Организатор конкурса: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C72749">
              <w:rPr>
                <w:rFonts w:ascii="Times New Roman" w:eastAsia="Calibri" w:hAnsi="Times New Roman" w:cs="Times New Roman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Cs w:val="24"/>
              </w:rPr>
              <w:t>АО «Тульский оружейный завод» в лице генерального директора Курилова И.Н.</w:t>
            </w:r>
          </w:p>
        </w:tc>
      </w:tr>
      <w:tr w:rsidR="00CA5F22" w:rsidRPr="00CA5F22" w:rsidTr="00CA5F22">
        <w:trPr>
          <w:tblCellSpacing w:w="5" w:type="nil"/>
        </w:trPr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firstLine="283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CA5F22">
              <w:rPr>
                <w:rFonts w:ascii="Times New Roman" w:eastAsia="Calibri" w:hAnsi="Times New Roman" w:cs="Times New Roman"/>
                <w:szCs w:val="24"/>
              </w:rPr>
              <w:t>Этапность</w:t>
            </w:r>
            <w:proofErr w:type="spellEnd"/>
            <w:r w:rsidRPr="00CA5F22">
              <w:rPr>
                <w:rFonts w:ascii="Times New Roman" w:eastAsia="Calibri" w:hAnsi="Times New Roman" w:cs="Times New Roman"/>
                <w:szCs w:val="24"/>
              </w:rPr>
              <w:t xml:space="preserve"> проведения аудита: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двухэтапный</w:t>
            </w:r>
          </w:p>
        </w:tc>
      </w:tr>
      <w:tr w:rsidR="00CA5F22" w:rsidRPr="00CA5F22" w:rsidTr="00CA5F22">
        <w:trPr>
          <w:tblCellSpacing w:w="5" w:type="nil"/>
        </w:trPr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F22" w:rsidRPr="00CA5F22" w:rsidRDefault="00CA5F22" w:rsidP="00C7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firstLine="283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Срок предоставления аудиторского заключения:</w:t>
            </w:r>
            <w:r w:rsidR="004D678F">
              <w:rPr>
                <w:rFonts w:ascii="Times New Roman" w:eastAsia="Calibri" w:hAnsi="Times New Roman" w:cs="Times New Roman"/>
                <w:szCs w:val="24"/>
              </w:rPr>
              <w:t xml:space="preserve"> до 15 февраля 201</w:t>
            </w:r>
            <w:r w:rsidR="00C72749">
              <w:rPr>
                <w:rFonts w:ascii="Times New Roman" w:eastAsia="Calibri" w:hAnsi="Times New Roman" w:cs="Times New Roman"/>
                <w:szCs w:val="24"/>
              </w:rPr>
              <w:t>8</w:t>
            </w:r>
            <w:r w:rsidR="004D678F">
              <w:rPr>
                <w:rFonts w:ascii="Times New Roman" w:eastAsia="Calibri" w:hAnsi="Times New Roman" w:cs="Times New Roman"/>
                <w:szCs w:val="24"/>
              </w:rPr>
              <w:t xml:space="preserve"> г.</w:t>
            </w:r>
          </w:p>
        </w:tc>
      </w:tr>
      <w:tr w:rsidR="00CA5F22" w:rsidRPr="00CA5F22" w:rsidTr="00CA5F22">
        <w:trPr>
          <w:tblCellSpacing w:w="5" w:type="nil"/>
        </w:trPr>
        <w:tc>
          <w:tcPr>
            <w:tcW w:w="1001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СРОК ПРЕДОСТАВЛЕНИЯ И СОДЕРЖАНИЕ КОНКУРСНОЙ ДОКУМЕНТАЦИИ</w:t>
            </w:r>
          </w:p>
        </w:tc>
      </w:tr>
      <w:tr w:rsidR="00CA5F22" w:rsidRPr="00CA5F22" w:rsidTr="00CA5F22">
        <w:trPr>
          <w:trHeight w:val="360"/>
          <w:tblCellSpacing w:w="5" w:type="nil"/>
        </w:trPr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F22" w:rsidRPr="00CA5F22" w:rsidRDefault="00CA5F22" w:rsidP="004D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firstLine="283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 xml:space="preserve">Срок подачи конкурсного заявления: в течение 25 дней с даты </w:t>
            </w:r>
            <w:r w:rsidR="004D678F">
              <w:rPr>
                <w:rFonts w:ascii="Times New Roman" w:eastAsia="Calibri" w:hAnsi="Times New Roman" w:cs="Times New Roman"/>
                <w:szCs w:val="24"/>
              </w:rPr>
              <w:t>размещения извещения о проведении конкурса на официальном сайте ООО «РТ-</w:t>
            </w:r>
            <w:proofErr w:type="spellStart"/>
            <w:r w:rsidR="004D678F">
              <w:rPr>
                <w:rFonts w:ascii="Times New Roman" w:eastAsia="Calibri" w:hAnsi="Times New Roman" w:cs="Times New Roman"/>
                <w:szCs w:val="24"/>
              </w:rPr>
              <w:t>Комплектимпекс</w:t>
            </w:r>
            <w:proofErr w:type="spellEnd"/>
            <w:r w:rsidR="004D678F">
              <w:rPr>
                <w:rFonts w:ascii="Times New Roman" w:eastAsia="Calibri" w:hAnsi="Times New Roman" w:cs="Times New Roman"/>
                <w:szCs w:val="24"/>
              </w:rPr>
              <w:t xml:space="preserve">» </w:t>
            </w:r>
            <w:r w:rsidR="004D678F">
              <w:rPr>
                <w:rFonts w:ascii="Times New Roman" w:eastAsia="Calibri" w:hAnsi="Times New Roman" w:cs="Times New Roman"/>
                <w:szCs w:val="24"/>
                <w:lang w:val="en-US"/>
              </w:rPr>
              <w:t>www</w:t>
            </w:r>
            <w:r w:rsidR="004D678F" w:rsidRPr="004D678F">
              <w:rPr>
                <w:rFonts w:ascii="Times New Roman" w:eastAsia="Calibri" w:hAnsi="Times New Roman" w:cs="Times New Roman"/>
                <w:szCs w:val="24"/>
              </w:rPr>
              <w:t>.</w:t>
            </w:r>
            <w:proofErr w:type="spellStart"/>
            <w:r w:rsidR="004D678F">
              <w:rPr>
                <w:rFonts w:ascii="Times New Roman" w:eastAsia="Calibri" w:hAnsi="Times New Roman" w:cs="Times New Roman"/>
                <w:szCs w:val="24"/>
                <w:lang w:val="en-US"/>
              </w:rPr>
              <w:t>rt</w:t>
            </w:r>
            <w:proofErr w:type="spellEnd"/>
            <w:r w:rsidR="004D678F" w:rsidRPr="004D678F">
              <w:rPr>
                <w:rFonts w:ascii="Times New Roman" w:eastAsia="Calibri" w:hAnsi="Times New Roman" w:cs="Times New Roman"/>
                <w:szCs w:val="24"/>
              </w:rPr>
              <w:t>-</w:t>
            </w:r>
            <w:r w:rsidR="004D678F">
              <w:rPr>
                <w:rFonts w:ascii="Times New Roman" w:eastAsia="Calibri" w:hAnsi="Times New Roman" w:cs="Times New Roman"/>
                <w:szCs w:val="24"/>
                <w:lang w:val="en-US"/>
              </w:rPr>
              <w:t>ci</w:t>
            </w:r>
            <w:r w:rsidR="004D678F" w:rsidRPr="004D678F">
              <w:rPr>
                <w:rFonts w:ascii="Times New Roman" w:eastAsia="Calibri" w:hAnsi="Times New Roman" w:cs="Times New Roman"/>
                <w:szCs w:val="24"/>
              </w:rPr>
              <w:t>.</w:t>
            </w:r>
            <w:proofErr w:type="spellStart"/>
            <w:r w:rsidR="004D678F">
              <w:rPr>
                <w:rFonts w:ascii="Times New Roman" w:eastAsia="Calibri" w:hAnsi="Times New Roman" w:cs="Times New Roman"/>
                <w:szCs w:val="24"/>
                <w:lang w:val="en-US"/>
              </w:rPr>
              <w:t>ru</w:t>
            </w:r>
            <w:proofErr w:type="spellEnd"/>
          </w:p>
        </w:tc>
      </w:tr>
      <w:tr w:rsidR="00CA5F22" w:rsidRPr="00CA5F22" w:rsidTr="00CA5F22">
        <w:trPr>
          <w:trHeight w:val="692"/>
          <w:tblCellSpacing w:w="5" w:type="nil"/>
        </w:trPr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3.1</w:t>
            </w:r>
          </w:p>
        </w:tc>
        <w:tc>
          <w:tcPr>
            <w:tcW w:w="8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firstLine="283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Состав (содержание) конкурсной документации: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firstLine="283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 xml:space="preserve">- информационная карта конкурсного заявления, которая содержит конкретные данные подготовки и представления конкурсной заявки </w:t>
            </w:r>
            <w:hyperlink w:anchor="Par251" w:history="1">
              <w:r w:rsidRPr="00CA5F22">
                <w:rPr>
                  <w:rFonts w:ascii="Times New Roman" w:eastAsia="Calibri" w:hAnsi="Times New Roman" w:cs="Times New Roman"/>
                  <w:szCs w:val="24"/>
                </w:rPr>
                <w:t>(приложение № 1)</w:t>
              </w:r>
            </w:hyperlink>
            <w:r w:rsidRPr="00CA5F22">
              <w:rPr>
                <w:rFonts w:ascii="Times New Roman" w:eastAsia="Calibri" w:hAnsi="Times New Roman" w:cs="Times New Roman"/>
                <w:szCs w:val="24"/>
              </w:rPr>
              <w:t>;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firstLine="283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 xml:space="preserve">- общие сведения об Обществе </w:t>
            </w:r>
            <w:hyperlink w:anchor="Par670" w:history="1">
              <w:r w:rsidRPr="00CA5F22">
                <w:rPr>
                  <w:rFonts w:ascii="Times New Roman" w:eastAsia="Calibri" w:hAnsi="Times New Roman" w:cs="Times New Roman"/>
                  <w:szCs w:val="24"/>
                </w:rPr>
                <w:t>(приложение № 2)</w:t>
              </w:r>
            </w:hyperlink>
            <w:r w:rsidRPr="00CA5F22">
              <w:rPr>
                <w:rFonts w:ascii="Times New Roman" w:eastAsia="Calibri" w:hAnsi="Times New Roman" w:cs="Times New Roman"/>
                <w:szCs w:val="24"/>
              </w:rPr>
              <w:t>;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firstLine="283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 xml:space="preserve">- образец договора оказания аудиторских услуг </w:t>
            </w:r>
            <w:hyperlink w:anchor="Par714" w:history="1">
              <w:r w:rsidRPr="00CA5F22">
                <w:rPr>
                  <w:rFonts w:ascii="Times New Roman" w:eastAsia="Calibri" w:hAnsi="Times New Roman" w:cs="Times New Roman"/>
                  <w:szCs w:val="24"/>
                </w:rPr>
                <w:t>(приложение №3)</w:t>
              </w:r>
            </w:hyperlink>
            <w:r w:rsidRPr="00CA5F22">
              <w:rPr>
                <w:rFonts w:ascii="Times New Roman" w:eastAsia="Calibri" w:hAnsi="Times New Roman" w:cs="Times New Roman"/>
                <w:szCs w:val="24"/>
              </w:rPr>
              <w:t>;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firstLine="283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 xml:space="preserve">- форма конкурсного заявления на участие в конкурсе </w:t>
            </w:r>
            <w:hyperlink w:anchor="Par909" w:history="1">
              <w:r w:rsidRPr="00CA5F22">
                <w:rPr>
                  <w:rFonts w:ascii="Times New Roman" w:eastAsia="Calibri" w:hAnsi="Times New Roman" w:cs="Times New Roman"/>
                  <w:szCs w:val="24"/>
                </w:rPr>
                <w:t>(приложение № 4)</w:t>
              </w:r>
            </w:hyperlink>
            <w:r w:rsidRPr="00CA5F22">
              <w:rPr>
                <w:rFonts w:ascii="Times New Roman" w:eastAsia="Calibri" w:hAnsi="Times New Roman" w:cs="Times New Roman"/>
                <w:szCs w:val="24"/>
              </w:rPr>
              <w:t>;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firstLine="283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 xml:space="preserve">- форма описи представленных документов на конкурс </w:t>
            </w:r>
            <w:hyperlink w:anchor="Par961" w:history="1">
              <w:r w:rsidRPr="00CA5F22">
                <w:rPr>
                  <w:rFonts w:ascii="Times New Roman" w:eastAsia="Calibri" w:hAnsi="Times New Roman" w:cs="Times New Roman"/>
                  <w:szCs w:val="24"/>
                </w:rPr>
                <w:t>(приложение № 5)</w:t>
              </w:r>
            </w:hyperlink>
            <w:r w:rsidRPr="00CA5F22">
              <w:rPr>
                <w:rFonts w:ascii="Times New Roman" w:eastAsia="Calibri" w:hAnsi="Times New Roman" w:cs="Times New Roman"/>
                <w:szCs w:val="24"/>
              </w:rPr>
              <w:t>;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firstLine="283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 xml:space="preserve">- форма сведений о наличии квалифицированного персонала </w:t>
            </w:r>
            <w:hyperlink w:anchor="Par1015" w:history="1">
              <w:r w:rsidRPr="00CA5F22">
                <w:rPr>
                  <w:rFonts w:ascii="Times New Roman" w:eastAsia="Calibri" w:hAnsi="Times New Roman" w:cs="Times New Roman"/>
                  <w:szCs w:val="24"/>
                </w:rPr>
                <w:t>(приложение № 6)</w:t>
              </w:r>
            </w:hyperlink>
            <w:r w:rsidRPr="00CA5F22">
              <w:rPr>
                <w:rFonts w:ascii="Times New Roman" w:eastAsia="Calibri" w:hAnsi="Times New Roman" w:cs="Times New Roman"/>
                <w:szCs w:val="24"/>
              </w:rPr>
              <w:t xml:space="preserve">;                                                      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firstLine="283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 xml:space="preserve">- форма обоснования стоимости </w:t>
            </w:r>
            <w:hyperlink w:anchor="Par1062" w:history="1">
              <w:r w:rsidRPr="00CA5F22">
                <w:rPr>
                  <w:rFonts w:ascii="Times New Roman" w:eastAsia="Calibri" w:hAnsi="Times New Roman" w:cs="Times New Roman"/>
                  <w:szCs w:val="24"/>
                </w:rPr>
                <w:t>(приложение N 7)</w:t>
              </w:r>
            </w:hyperlink>
            <w:r w:rsidRPr="00CA5F22">
              <w:rPr>
                <w:rFonts w:ascii="Times New Roman" w:eastAsia="Calibri" w:hAnsi="Times New Roman" w:cs="Times New Roman"/>
                <w:szCs w:val="24"/>
              </w:rPr>
              <w:t>;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firstLine="283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 xml:space="preserve">- форма финансового предложения </w:t>
            </w:r>
            <w:hyperlink w:anchor="Par1097" w:history="1">
              <w:r w:rsidRPr="00CA5F22">
                <w:rPr>
                  <w:rFonts w:ascii="Times New Roman" w:eastAsia="Calibri" w:hAnsi="Times New Roman" w:cs="Times New Roman"/>
                  <w:szCs w:val="24"/>
                </w:rPr>
                <w:t>(приложение N 8)</w:t>
              </w:r>
            </w:hyperlink>
            <w:r w:rsidRPr="00CA5F22">
              <w:rPr>
                <w:rFonts w:ascii="Times New Roman" w:eastAsia="Calibri" w:hAnsi="Times New Roman" w:cs="Times New Roman"/>
                <w:szCs w:val="24"/>
              </w:rPr>
              <w:t>;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firstLine="283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 xml:space="preserve">- форма оценки квалификации специалистов, предложенных для участия в проверке </w:t>
            </w:r>
            <w:hyperlink w:anchor="Par1131" w:history="1">
              <w:r w:rsidRPr="00CA5F22">
                <w:rPr>
                  <w:rFonts w:ascii="Times New Roman" w:eastAsia="Calibri" w:hAnsi="Times New Roman" w:cs="Times New Roman"/>
                  <w:szCs w:val="24"/>
                </w:rPr>
                <w:t>(приложение N 9)</w:t>
              </w:r>
            </w:hyperlink>
          </w:p>
        </w:tc>
      </w:tr>
      <w:tr w:rsidR="00CA5F22" w:rsidRPr="00CA5F22" w:rsidTr="00CA5F22">
        <w:trPr>
          <w:tblCellSpacing w:w="5" w:type="nil"/>
        </w:trPr>
        <w:tc>
          <w:tcPr>
            <w:tcW w:w="1001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ПОРЯДОК ПОДАЧИ КОНКУРСНЫХ ЗАЯВЛЕНИЙ</w:t>
            </w:r>
          </w:p>
        </w:tc>
      </w:tr>
      <w:tr w:rsidR="00CA5F22" w:rsidRPr="00CA5F22" w:rsidTr="00CA5F22">
        <w:trPr>
          <w:trHeight w:val="1260"/>
          <w:tblCellSpacing w:w="5" w:type="nil"/>
        </w:trPr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3.3</w:t>
            </w:r>
          </w:p>
        </w:tc>
        <w:tc>
          <w:tcPr>
            <w:tcW w:w="8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firstLine="283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Оформление конвертов: все конверты (открытый конверт и два закрытых конверта (с техническим и финансовым предложениями) должны быть запечатаны в один внешний конверт с обязательным указанием обратного адреса.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firstLine="283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Внешний конверт должен содержать название конкурса. Закрытые внутренние конверты должны содержать слова "Не вскрывать до проведения конкурса"</w:t>
            </w:r>
          </w:p>
        </w:tc>
      </w:tr>
      <w:tr w:rsidR="00CA5F22" w:rsidRPr="00CA5F22" w:rsidTr="00CA5F22">
        <w:trPr>
          <w:trHeight w:val="5580"/>
          <w:tblCellSpacing w:w="5" w:type="nil"/>
        </w:trPr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lastRenderedPageBreak/>
              <w:t>3.2.1</w:t>
            </w:r>
          </w:p>
        </w:tc>
        <w:tc>
          <w:tcPr>
            <w:tcW w:w="8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firstLine="283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Состав документации, которая должна находиться в открытом конверте: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firstLine="283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 xml:space="preserve">- конкурсное заявление на участие в конкурсе по прилагаемой форме </w:t>
            </w:r>
            <w:hyperlink w:anchor="Par909" w:history="1">
              <w:r w:rsidRPr="00CA5F22">
                <w:rPr>
                  <w:rFonts w:ascii="Times New Roman" w:eastAsia="Calibri" w:hAnsi="Times New Roman" w:cs="Times New Roman"/>
                  <w:szCs w:val="24"/>
                </w:rPr>
                <w:t>(приложение № 4)</w:t>
              </w:r>
            </w:hyperlink>
            <w:r w:rsidRPr="00CA5F22">
              <w:rPr>
                <w:rFonts w:ascii="Times New Roman" w:eastAsia="Calibri" w:hAnsi="Times New Roman" w:cs="Times New Roman"/>
                <w:szCs w:val="24"/>
              </w:rPr>
              <w:t>;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firstLine="283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 xml:space="preserve">- опись представленных документов по прилагаемой форме </w:t>
            </w:r>
            <w:hyperlink w:anchor="Par961" w:history="1">
              <w:r w:rsidRPr="00CA5F22">
                <w:rPr>
                  <w:rFonts w:ascii="Times New Roman" w:eastAsia="Calibri" w:hAnsi="Times New Roman" w:cs="Times New Roman"/>
                  <w:szCs w:val="24"/>
                </w:rPr>
                <w:t>(приложение № 5)</w:t>
              </w:r>
            </w:hyperlink>
            <w:r w:rsidRPr="00CA5F22">
              <w:rPr>
                <w:rFonts w:ascii="Times New Roman" w:eastAsia="Calibri" w:hAnsi="Times New Roman" w:cs="Times New Roman"/>
                <w:szCs w:val="24"/>
              </w:rPr>
              <w:t>;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firstLine="283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- заверенные заявителем копии учредительных документов;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firstLine="283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- заверенные заявителем копии свидетельства о государственной регистрации;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firstLine="283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- выписка из Единого государственного реестра юридических лиц (сроком давности не более 60 календарных дней);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firstLine="283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- копия документа, подтверждающего членство в саморегулируемом профессиональном общественном объединении аудиторов, внесенном в государственный реестр саморегулируемых организаций аудиторов, заверенная подписью руководителя и печатью организации;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firstLine="283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- выписка из реестра аудиторов и аудиторских организаций, заверенная СРО аудиторов, выданная не ранее месяца до даты предоставления конкурсной документации;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firstLine="283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- нотариально заверенная копия лицензии на осуществление работ с использованием сведений, составляющих государственную тайну (при необходимости);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firstLine="283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- заверенные заявителем копии последнего годового бухгалтерского баланса аудиторской организации и отчетов о финансовых результатах за последние два года;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firstLine="283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- заверенная заявителем копия полиса страхования профессиональной ответственности при осуществлении аудиторской деятельности (при наличии);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firstLine="283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- справка из налогового органа об исполнении налогоплательщиком (плательщиком сбора, налоговым агентом) обязанности по уплате налогов, сборов, пеней, штрафов, процентов сроком давности не более 30 календарных дней до даты проведения конкурса.</w:t>
            </w:r>
          </w:p>
        </w:tc>
      </w:tr>
      <w:tr w:rsidR="00CA5F22" w:rsidRPr="00CA5F22" w:rsidTr="00CA5F22">
        <w:trPr>
          <w:trHeight w:val="550"/>
          <w:tblCellSpacing w:w="5" w:type="nil"/>
        </w:trPr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3.2.2</w:t>
            </w:r>
          </w:p>
        </w:tc>
        <w:tc>
          <w:tcPr>
            <w:tcW w:w="8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firstLine="283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- Состав документации, которая должна находиться в закрытом конверте с техническим предложением: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firstLine="283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- образец аудиторского отчета руководству;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firstLine="283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 xml:space="preserve">- сведения о наличии квалифицированного персонала по прилагаемой форме </w:t>
            </w:r>
            <w:hyperlink w:anchor="Par1015" w:history="1">
              <w:r w:rsidRPr="00CA5F22">
                <w:rPr>
                  <w:rFonts w:ascii="Times New Roman" w:eastAsia="Calibri" w:hAnsi="Times New Roman" w:cs="Times New Roman"/>
                  <w:szCs w:val="24"/>
                </w:rPr>
                <w:t>(приложение № 6)</w:t>
              </w:r>
            </w:hyperlink>
            <w:r w:rsidRPr="00CA5F22">
              <w:rPr>
                <w:rFonts w:ascii="Times New Roman" w:eastAsia="Calibri" w:hAnsi="Times New Roman" w:cs="Times New Roman"/>
                <w:szCs w:val="24"/>
              </w:rPr>
              <w:t xml:space="preserve"> с приложением заверенных копий трудовых книжек; 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firstLine="283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 xml:space="preserve">- оценка квалификации специалистов, которые предлагаются для проведения аудита по установленной форме </w:t>
            </w:r>
            <w:hyperlink w:anchor="Par1131" w:history="1">
              <w:r w:rsidRPr="00CA5F22">
                <w:rPr>
                  <w:rFonts w:ascii="Times New Roman" w:eastAsia="Calibri" w:hAnsi="Times New Roman" w:cs="Times New Roman"/>
                  <w:szCs w:val="24"/>
                </w:rPr>
                <w:t>(приложение № 9)</w:t>
              </w:r>
            </w:hyperlink>
            <w:r w:rsidRPr="00CA5F22">
              <w:rPr>
                <w:rFonts w:ascii="Times New Roman" w:eastAsia="Calibri" w:hAnsi="Times New Roman" w:cs="Times New Roman"/>
                <w:szCs w:val="24"/>
              </w:rPr>
              <w:t>;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firstLine="283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- копии квалификационных аттестатов аудиторов, заверенные подписью руководителя и печатью организации, подтвержденные гарантийным письмом о том, что данные специалисты являются штатными сотрудниками организации;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firstLine="283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- копия документа, выданного СРО о прохождении процедур внешнего контроля качества;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firstLine="283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- справка из соответствующей СРО, выданная не позднее чем за месяц до даты проведения конкурса и подтверждающая факт наличия (отсутствия) мер дисциплинарного воздействия за текущий и два предшествующих года. В случае перехода аудиторской организации за последние три года до даты подачи конкурсной заявки из одной СРО в другую справка о наличии (отсутствии) мер дисциплинарного воздействия представляется из каждой СРО;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firstLine="283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- справка об опыте проведения аудита на предприятиях соответствующей отрасли (сфере) деятельности заказчика, заверенная подписью руководителя и печатью организации;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firstLine="283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- справка о среднем значении аудиторского стажа штатных специалистов аудиторской организации;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firstLine="283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- копии актов выполненных работ.</w:t>
            </w:r>
          </w:p>
        </w:tc>
      </w:tr>
      <w:tr w:rsidR="00CA5F22" w:rsidRPr="00CA5F22" w:rsidTr="00CA5F22">
        <w:trPr>
          <w:trHeight w:val="900"/>
          <w:tblCellSpacing w:w="5" w:type="nil"/>
        </w:trPr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3.2.2</w:t>
            </w:r>
          </w:p>
        </w:tc>
        <w:tc>
          <w:tcPr>
            <w:tcW w:w="8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Состав документации, которая должна находиться в закрытом конверте с финансовым предложением: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 xml:space="preserve">- обоснование стоимости по установленной форме </w:t>
            </w:r>
            <w:hyperlink w:anchor="Par1062" w:history="1">
              <w:r w:rsidRPr="00CA5F22">
                <w:rPr>
                  <w:rFonts w:ascii="Times New Roman" w:eastAsia="Calibri" w:hAnsi="Times New Roman" w:cs="Times New Roman"/>
                  <w:szCs w:val="24"/>
                </w:rPr>
                <w:t>(приложение № 7)</w:t>
              </w:r>
            </w:hyperlink>
            <w:r w:rsidRPr="00CA5F22">
              <w:rPr>
                <w:rFonts w:ascii="Times New Roman" w:eastAsia="Calibri" w:hAnsi="Times New Roman" w:cs="Times New Roman"/>
                <w:szCs w:val="24"/>
              </w:rPr>
              <w:t>;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 xml:space="preserve">- финансовое предложение по установленной форме, включая накладные расходы (если применимо) и НДС </w:t>
            </w:r>
            <w:hyperlink w:anchor="Par1097" w:history="1">
              <w:r w:rsidRPr="00CA5F22">
                <w:rPr>
                  <w:rFonts w:ascii="Times New Roman" w:eastAsia="Calibri" w:hAnsi="Times New Roman" w:cs="Times New Roman"/>
                  <w:szCs w:val="24"/>
                </w:rPr>
                <w:t>(приложение № 8)</w:t>
              </w:r>
            </w:hyperlink>
            <w:r w:rsidRPr="00CA5F22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</w:tr>
      <w:tr w:rsidR="00CA5F22" w:rsidRPr="00CA5F22" w:rsidTr="00CA5F22">
        <w:trPr>
          <w:tblCellSpacing w:w="5" w:type="nil"/>
        </w:trPr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3.4</w:t>
            </w:r>
          </w:p>
        </w:tc>
        <w:tc>
          <w:tcPr>
            <w:tcW w:w="8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Валюта конкурсного заявления: российский рубль</w:t>
            </w:r>
          </w:p>
        </w:tc>
      </w:tr>
      <w:tr w:rsidR="00CA5F22" w:rsidRPr="00CA5F22" w:rsidTr="00CA5F22">
        <w:trPr>
          <w:trHeight w:val="540"/>
          <w:tblCellSpacing w:w="5" w:type="nil"/>
        </w:trPr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3.5</w:t>
            </w:r>
          </w:p>
        </w:tc>
        <w:tc>
          <w:tcPr>
            <w:tcW w:w="8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Все поступившие конкурсные заявления регистрируются секретарем конкурсной комиссии в журнале регистрации конкурсных предложений</w:t>
            </w:r>
          </w:p>
        </w:tc>
      </w:tr>
      <w:tr w:rsidR="00CA5F22" w:rsidRPr="00CA5F22" w:rsidTr="00CA5F22">
        <w:trPr>
          <w:trHeight w:val="1080"/>
          <w:tblCellSpacing w:w="5" w:type="nil"/>
        </w:trPr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lastRenderedPageBreak/>
              <w:t>3.7</w:t>
            </w:r>
          </w:p>
        </w:tc>
        <w:tc>
          <w:tcPr>
            <w:tcW w:w="8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Конкурсные заявления, поступившие после окончания срока приема конкурсных предложений, указанного в информационной карте конкурсного заявления, также регистрируются в журнале регистрации конкурсных предложений, но в момент вскрытия конвертов не распечатываются, а возвращаются участнику конкурса в нераспечатанном виде и не допускаются к участию в конкурсе (не рассматриваются).</w:t>
            </w:r>
          </w:p>
        </w:tc>
      </w:tr>
      <w:tr w:rsidR="00CA5F22" w:rsidRPr="00CA5F22" w:rsidTr="00CA5F22">
        <w:trPr>
          <w:tblCellSpacing w:w="5" w:type="nil"/>
        </w:trPr>
        <w:tc>
          <w:tcPr>
            <w:tcW w:w="1001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СРОК ДЕЙСТВИЯ КОНКУРСНОГО ПРЕДЛОЖЕНИЯ</w:t>
            </w:r>
          </w:p>
        </w:tc>
      </w:tr>
      <w:tr w:rsidR="00CA5F22" w:rsidRPr="00CA5F22" w:rsidTr="00CA5F22">
        <w:trPr>
          <w:trHeight w:val="540"/>
          <w:tblCellSpacing w:w="5" w:type="nil"/>
        </w:trPr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3.9</w:t>
            </w:r>
          </w:p>
        </w:tc>
        <w:tc>
          <w:tcPr>
            <w:tcW w:w="8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F22" w:rsidRPr="00CA5F22" w:rsidRDefault="00CA5F22" w:rsidP="00BF3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firstLine="283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 xml:space="preserve">Не менее </w:t>
            </w:r>
            <w:r w:rsidR="00BF3028">
              <w:rPr>
                <w:rFonts w:ascii="Times New Roman" w:eastAsia="Calibri" w:hAnsi="Times New Roman" w:cs="Times New Roman"/>
                <w:szCs w:val="24"/>
              </w:rPr>
              <w:t>45</w:t>
            </w:r>
            <w:r w:rsidRPr="00CA5F22">
              <w:rPr>
                <w:rFonts w:ascii="Times New Roman" w:eastAsia="Calibri" w:hAnsi="Times New Roman" w:cs="Times New Roman"/>
                <w:szCs w:val="24"/>
              </w:rPr>
              <w:t xml:space="preserve"> календарных дней после даты вскрытия конкурсных предложений. Предложение с более коротким сроком действия отклоняется как не соответствующее условиям конкурса</w:t>
            </w:r>
          </w:p>
        </w:tc>
      </w:tr>
      <w:tr w:rsidR="00CA5F22" w:rsidRPr="00CA5F22" w:rsidTr="00CA5F22">
        <w:trPr>
          <w:tblCellSpacing w:w="5" w:type="nil"/>
        </w:trPr>
        <w:tc>
          <w:tcPr>
            <w:tcW w:w="1001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ВНЕСЕНИЕ ИЗМЕНЕНИЙ И (ИЛИ) ПОПРАВОК (УТОЧНЕНИЙ) В КОНКУРСНУЮ ДОКУМЕНТАЦИЮ</w:t>
            </w:r>
          </w:p>
        </w:tc>
      </w:tr>
      <w:tr w:rsidR="00CA5F22" w:rsidRPr="00CA5F22" w:rsidTr="00CA5F22">
        <w:trPr>
          <w:trHeight w:val="540"/>
          <w:tblCellSpacing w:w="5" w:type="nil"/>
        </w:trPr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3.10</w:t>
            </w:r>
          </w:p>
        </w:tc>
        <w:tc>
          <w:tcPr>
            <w:tcW w:w="8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Организатор конкурса может внести изменения в конкурсную документацию при условии предоставления участникам достаточного времени для учета поправок при подготовке конкурсного заявления</w:t>
            </w:r>
          </w:p>
        </w:tc>
      </w:tr>
      <w:tr w:rsidR="00CA5F22" w:rsidRPr="00CA5F22" w:rsidTr="00CA5F22">
        <w:trPr>
          <w:tblCellSpacing w:w="5" w:type="nil"/>
        </w:trPr>
        <w:tc>
          <w:tcPr>
            <w:tcW w:w="1001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ПОРЯДОК ПРОВЕДЕНИЯ КОНКУРСА. МЕТОДИКА ОЦЕНКИ</w:t>
            </w:r>
          </w:p>
        </w:tc>
      </w:tr>
      <w:tr w:rsidR="00CA5F22" w:rsidRPr="00CA5F22" w:rsidTr="00CA5F22">
        <w:trPr>
          <w:trHeight w:val="540"/>
          <w:tblCellSpacing w:w="5" w:type="nil"/>
        </w:trPr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3.6</w:t>
            </w:r>
          </w:p>
        </w:tc>
        <w:tc>
          <w:tcPr>
            <w:tcW w:w="8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Конверты с техническими и финансовыми предложениями хранятся у секретаря конкурсной комиссии в запечатанном виде до заседания конкурсной комиссии</w:t>
            </w:r>
          </w:p>
        </w:tc>
      </w:tr>
      <w:tr w:rsidR="00CA5F22" w:rsidRPr="00CA5F22" w:rsidTr="00CA5F22">
        <w:trPr>
          <w:trHeight w:val="540"/>
          <w:tblCellSpacing w:w="5" w:type="nil"/>
        </w:trPr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4.1</w:t>
            </w:r>
          </w:p>
        </w:tc>
        <w:tc>
          <w:tcPr>
            <w:tcW w:w="8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Конкурс проводится в два этапа: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первый этап - оценка технических предложений;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второй этап - оценка финансовых предложений</w:t>
            </w:r>
          </w:p>
        </w:tc>
      </w:tr>
      <w:tr w:rsidR="00CA5F22" w:rsidRPr="00CA5F22" w:rsidTr="00CA5F22">
        <w:trPr>
          <w:tblCellSpacing w:w="5" w:type="nil"/>
        </w:trPr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4.2</w:t>
            </w:r>
          </w:p>
        </w:tc>
        <w:tc>
          <w:tcPr>
            <w:tcW w:w="8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Критерии оценки конкурсных заявок: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Оценка технического предложения - проводится по 100-балльной шкале по следующим показателям: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Количество полных лет деятельности организации в области аудита.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Максимальное количество баллов (10) присваивается предложениям аудиторских организаций, осуществляющих аудиторскую деятельность более 10 лет.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8 баллов присваивается предложениям аудиторских организаций, осуществляющих аудиторскую деятельность в области аудита от 5 до 10 лет.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5 баллов присваивается предложениям аудиторских организаций, осуществляющих аудиторскую деятельность менее 5 лет.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Сведения, представленные организациями в составе конкурсного предложения, подтверждаются копиями лицензий (за период деятельности до 1 января 2010 г.), в период с 1 января 2010 г. - документами, подтверждающими членство в СРО аудиторов.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Выручка от оказания услуг за предыдущий год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Если Общество в проверяемом периоде имеет выручку до 200 млн. руб., то: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максимальное количество баллов (15) присваивается предложениям аудиторских организаций, если выручка этих организаций от оказания услуг за предыдущий отчетный год составила не менее  60 млн. руб.;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10 баллов присваивается предложениям аудиторских организаций, если выручка этих организаций от оказания услуг за предыдущий отчетный год составила не менее 40 млн. руб.;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5 баллов присваивается предложениям аудиторских организаций, если выручка этих организаций от оказания услуг за предыдущий отчетный год составила не менее 5 млн. руб.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Если Общество в проверяемом периоде имеет выручку от 200 млн. до 1 млрд. руб., то: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максимальное количество баллов (15) присваивается предложениям аудиторских организаций, если выручка этих организаций от оказания услуг за предыдущий отчетный год составила не менее 100 млн. руб.;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10 баллов присваивается предложениям аудиторских организаций, если выручка этих организаций от оказания услуг за предыдущий отчетный год составила не менее 60 млн. руб.;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 xml:space="preserve">5 баллов присваивается предложениям аудиторских организаций, если выручка этих организаций от оказания услуг за предыдущий отчетный год составила не менее 40 млн. </w:t>
            </w:r>
            <w:r w:rsidRPr="00CA5F22">
              <w:rPr>
                <w:rFonts w:ascii="Times New Roman" w:eastAsia="Calibri" w:hAnsi="Times New Roman" w:cs="Times New Roman"/>
                <w:szCs w:val="24"/>
              </w:rPr>
              <w:lastRenderedPageBreak/>
              <w:t>руб.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Если Общество в проверяемом периоде имеет выручку свыше млрд. руб., то: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максимальное количество баллов (15) присваивается предложениям аудиторских организаций, если выручка этих организаций от оказания услуг за предыдущий отчетный год составила не менее 200 млн. руб.;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10 баллов присваивается предложениям аудиторских организаций, если выручка этих организаций от оказания услуг за предыдущий отчетный год составила не менее 100 млн. руб.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5 баллов присваивается предложениям аудиторских организаций, если выручка этих организаций от оказания услуг за предыдущий отчетный год составила не менее 60 млн руб.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Сведения подтверждаются копией формы № 2 "Отчет о финансовых результатах" с подтверждением об отправке в налоговой орган либо копией налоговой декларации по налогу, уплачиваемому в связи с применением упрощенной системы налогообложения (для организаций, выбравших упрощенную систему налогообложения).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Прохождение процедур внешнего контроля качества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Предложение аудиторских организаций оценивается в 15 баллов при условии прохождения процедур внешнего контроля качества в срок не ранее чем за три года до даты подачи конкурсной заявки и отсутствии мер дисциплинарного воздействия (предписание, приостановление членства).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В случае прохождения процедур внешнего контроля качества в срок не ранее чем за три года до даты подачи конкурсной заявки и наличия мер дисциплинарного воздействия (предписание, приостановление членства) предложение оценивается в 5 баллов.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Предложение аудиторских организаций оценивается в 0 баллов при условии прохождения процедур внешнего контроля качества в срок ранее, чем за три года до даты подачи конкурсной заявки либо в случае отсутствия сведений о прохождении процедур внешнего контроля качества или дисциплинарное взыскание (предписание или приостановление членства) было вынесено позже даты осуществления контроля качества.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 xml:space="preserve">Факт наличия (отсутствия) мер дисциплинарного воздействия по итогам внешнего контроля качества за текущий и два предшествующих года подтверждается справкой из соответствующей СРО, выданной не </w:t>
            </w:r>
            <w:proofErr w:type="gramStart"/>
            <w:r w:rsidRPr="00CA5F22">
              <w:rPr>
                <w:rFonts w:ascii="Times New Roman" w:eastAsia="Calibri" w:hAnsi="Times New Roman" w:cs="Times New Roman"/>
                <w:szCs w:val="24"/>
              </w:rPr>
              <w:t>позднее</w:t>
            </w:r>
            <w:proofErr w:type="gramEnd"/>
            <w:r w:rsidRPr="00CA5F22">
              <w:rPr>
                <w:rFonts w:ascii="Times New Roman" w:eastAsia="Calibri" w:hAnsi="Times New Roman" w:cs="Times New Roman"/>
                <w:szCs w:val="24"/>
              </w:rPr>
              <w:t xml:space="preserve"> чем за  месяц до даты проведения конкурса.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В случае перехода аудиторской организации за последние три года до даты подачи конкурсной заявки из одной СРО в другую справка о наличии (отсутствии) мер дисциплинарного воздействия (предписание или приостановление членства) представляется из каждой СРО.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 xml:space="preserve">Количество штатных аудиторов в аудиторской организации (подтверждается копиями трудовых книжек, квалификационными аттестатами). 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Если Общество в проверяемом периоде имеет выручку до 200 млн. руб., то: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 xml:space="preserve">максимальное количество баллов (15) присваивается предложениям аудиторских организаций, имеющих в штате не менее 5 аттестованных аудиторов;                                                             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12 баллов присваивается предложениям аудиторских организаций, имеющих в штате не менее 4 аттестованных аудиторов;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10 баллов присваивается предложениям аудиторских организаций, имеющих в штате не менее 3 аттестованных аудиторов.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Если Общество в проверяемом периоде имеет выручку от 200 млн. до 1 млрд. руб., то: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максимальное количество баллов (15) присваивается предложениям аудиторским организациям, имеющих в штате не менее 20 аттестованных аудиторов;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12 баллов присваивается предложениям аудиторских организаций, имеющих в штате не менее 10 аттестованных аудиторов;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10 баллов присваивается предложениям аудиторских организаций, имеющих в штате не менее 5 аттестованных аудиторов.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 xml:space="preserve">Если Общество в проверяемом периоде имеет выручку свыше 1 млрд. руб., то:                                                      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 xml:space="preserve">максимальное количество баллов (15) присваивается предложениям аудиторских организаций, имеющих в штате не менее 40 аттестованных аудиторов;                                                             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12 баллов присваивается предложениям аудиторских организаций, имеющих в штате не менее 20 аттестованных аудиторов;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10 баллов присваивается предложениям аудиторских организаций, имеющих в штате не менее 10 аттестованных аудиторов.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lastRenderedPageBreak/>
              <w:t>Сведения о штатных специалистах подтверждаются копиями трудовых книжек и квалификационных аттестатов.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 xml:space="preserve">Количество исполненных договоров по оказанию аудиторских услуг для организаций, осуществляющих отраслевую деятельность, аналогичную деятельности Общества, и наличие опыта у аудиторов, предлагаемых для участия в проверке выполнения таких работ. 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Максимальное количество баллов (20) присваивается предложениям аудиторских организаций, имеющих опыт выполнения более 5 работ в отрасли деятельности Общества и предлагающих к участию в проверке аудиторов, также имеющих опыт выполнения таких работ (в отрасли деятельности Общества) более 5 работ.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15 баллов присваивается предложениям аудиторских организаций, не имеющих опыт выполнения более 5 работ в отрасли деятельности Общества, но предлагающих к участию в проверке аудиторов, имеющих опыт выполнения более 5 работ в отрасли деятельности Общества.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10 баллов присваивается предложениям организаций, имеющих опыт выполнения более 5 работ в отрасли деятельности заказчика, но не предложивших к участию в проверке аудиторов, имеющих опыт выполнения более 5 работ в отрасли деятельности Общества.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5 баллов присваивается предложениям организаций, удовлетворяющим одному из вышеперечисленных критериев, при условии наличия опыта проведения работ в отрасли деятельности заказчика менее 5 работ (как у организации, так и у аудиторов, предлагаемых к участию в проверке).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0 баллов присваивается предложениям организаций, не имеющих опыта выполнения работ в отрасли деятельности заказчика (как у организации, так и аудиторов, предлагаемых к участию в проверке).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Сведения об опыте выполнения работ организацией подтверждаются копиями документов организации (договоры, акты выполненных работ).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 xml:space="preserve">Сведения об опыте аудиторов, предлагаемых для выполнения работ, подтверждаются резюме (характеристикой) сотрудников, заверенными руководителем аудиторской организации, с указанием периода выполнения работ и наименования организации - заказчика работ. 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 xml:space="preserve">Среднее значение аудиторского стажа штатных специалистов организации 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 xml:space="preserve">Показатель среднего значения аудиторского стажа рассчитывается как количество полных лет стажа работы сотрудников аудиторской организации в качестве аттестованного аудитора к общему количеству аттестованных аудиторов.                                                             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Максимальное количество баллов (10) присваивается предложениям аудиторских организаций, если показатель среднего значения аудиторского стажа составляет более 5 лет.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 xml:space="preserve">5 баллов присваивается предложениям организаций, если показатель среднего значения аудиторского стажа составляет от 3 до 5 лет. 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Сведения о стаже работы сотрудников в качестве аттестованного аудитора подтверждаются справкой, заверенной генеральным директором аудиторской организации.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Содержание отчета руководству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Оценка предложений аудиторских организаций по данному критерию производится на основе анализа образца отчета руководству.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Если образец отчета руководству признается соответствующим масштабам деятельности Общества, предложение оценивается по данному критерию в 10 баллов.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 xml:space="preserve">Если образец отчета руководству не признается соответствующим масштабам деятельности заказчика, предложение оценивается по данному критерию в 5 баллов. 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В случае отсутствия образца отчета руководству предложение оценивается в 0 баллов.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Для оценки предложения по данному показателю аудиторская организация в составе конкурсного предложения предоставляет образец отчета руководству.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Сумма страхового возмещения по полису страхования профессиональной ответственности при осуществлении аудиторской деятельности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 xml:space="preserve">Если Общество в проверяемом периоде имеет выручку до 200 млн. руб., то сумма страхового возмещения по полису страхования профессиональной   ответственности при осуществлении аудиторской деятельности для аудиторских организаций должна </w:t>
            </w:r>
            <w:r w:rsidRPr="00CA5F22">
              <w:rPr>
                <w:rFonts w:ascii="Times New Roman" w:eastAsia="Calibri" w:hAnsi="Times New Roman" w:cs="Times New Roman"/>
                <w:szCs w:val="24"/>
              </w:rPr>
              <w:lastRenderedPageBreak/>
              <w:t>составлять не менее 60 млн. руб. по всем и каждому страховому случаю.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Если Общество в проверяемом периоде имеет выручку от 200 млн. до 1 млрд. руб., то сумма страхового возмещения по полису страхования профессиональной   ответственности при осуществлении аудиторской деятельности для аудиторских организаций должна составлять не менее 200 млн. руб. по всем страховым случаям и не менее 80 млн. руб. по каждому страховому случаю.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Если Общество в проверяемом периоде имеет выручку более 1 млрд. руб., то сумма страхового возмещения по полису страхования профессиональной   ответственности при осуществлении аудиторской деятельности для аудиторских организаций должна составлять не менее 500 млн. руб. по всем страховым случаям и не менее 100 млн. руб. по каждому страховому случаю.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Предложение аудиторских организаций оценивается по данному показателю в 5 баллов при выполнении и 0 баллов при невыполнении вышеуказанных условий.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Оценка финансового предложения: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определяется средняя стоимость финансовых предложений организаций, как отношение суммы всех финансовых предложений к количеству организаций;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по каждой организации определяется величина отклонения финансового предложения от средней стоимости как разность между средним и фактическим финансовым предложением в абсолютном выражении;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рассчитывается коэффициент отклонения как отношение величины отклонения финансового предложения к средней стоимости в процентном выражении;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 xml:space="preserve">финансовые предложения с коэффициентом отклонения, не превышающим 25%, получают 100 баллов. В случае превышения 25% итоговая оценка определяется как разность между 100 и коэффициентом отклонения. В случае если отклонение финансового предложения от средней стоимости составляет 40%, конкурсная комиссия отстраняет аудиторскую организацию от участия в конкурсе                                                  </w:t>
            </w:r>
          </w:p>
        </w:tc>
      </w:tr>
      <w:tr w:rsidR="00CA5F22" w:rsidRPr="00CA5F22" w:rsidTr="00CA5F22">
        <w:trPr>
          <w:trHeight w:val="2700"/>
          <w:tblCellSpacing w:w="5" w:type="nil"/>
        </w:trPr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lastRenderedPageBreak/>
              <w:t>4.4</w:t>
            </w:r>
          </w:p>
        </w:tc>
        <w:tc>
          <w:tcPr>
            <w:tcW w:w="8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Результаты оценок: суммируются оба результата с учетом следующих коэффициентов: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оценка технического предложения - 0,65;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оценка финансового предложения - 0,35,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и оценивается необходимость применения к участникам конкурса понижающего коэффициента.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 xml:space="preserve">Если за </w:t>
            </w:r>
            <w:proofErr w:type="gramStart"/>
            <w:r w:rsidRPr="00CA5F22">
              <w:rPr>
                <w:rFonts w:ascii="Times New Roman" w:eastAsia="Calibri" w:hAnsi="Times New Roman" w:cs="Times New Roman"/>
                <w:szCs w:val="24"/>
              </w:rPr>
              <w:t>текущий</w:t>
            </w:r>
            <w:proofErr w:type="gramEnd"/>
            <w:r w:rsidRPr="00CA5F22">
              <w:rPr>
                <w:rFonts w:ascii="Times New Roman" w:eastAsia="Calibri" w:hAnsi="Times New Roman" w:cs="Times New Roman"/>
                <w:szCs w:val="24"/>
              </w:rPr>
              <w:t xml:space="preserve"> и два предшествующих периода аудиторская организация упомянута в таблице, размещенной за сайте www.rt-ci.ru: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1 раз, то применяется понижающий коэффициент 10% от итогового результата суммы оценки технического и финансового предложения;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2 раза, то применяется понижающий коэффициент 20% от итогового результата суммы оценки технического и финансового предложения;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3 раза и более, то применяется понижающий коэффициент 40% от итогового результата суммы оценки технического и финансового предложения.</w:t>
            </w:r>
          </w:p>
        </w:tc>
      </w:tr>
      <w:tr w:rsidR="00CA5F22" w:rsidRPr="00CA5F22" w:rsidTr="00CA5F22">
        <w:trPr>
          <w:trHeight w:val="540"/>
          <w:tblCellSpacing w:w="5" w:type="nil"/>
        </w:trPr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6.1</w:t>
            </w:r>
          </w:p>
        </w:tc>
        <w:tc>
          <w:tcPr>
            <w:tcW w:w="8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Победитель конкурса: аудиторская организация, набравшая наибольшее количество баллов. При равенстве баллов победителем признается аудиторская организация, заявление которой было подано раньше</w:t>
            </w:r>
          </w:p>
        </w:tc>
      </w:tr>
      <w:tr w:rsidR="00CA5F22" w:rsidRPr="00CA5F22" w:rsidTr="00CA5F22">
        <w:trPr>
          <w:trHeight w:val="360"/>
          <w:tblCellSpacing w:w="5" w:type="nil"/>
        </w:trPr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Дата и время заседания конкурсной комиссии:</w:t>
            </w:r>
          </w:p>
          <w:p w:rsidR="00CA5F22" w:rsidRPr="00CA5F22" w:rsidRDefault="00CB1A0F" w:rsidP="00CB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3</w:t>
            </w:r>
            <w:r w:rsidR="00BF3028">
              <w:rPr>
                <w:rFonts w:ascii="Times New Roman" w:eastAsia="Calibri" w:hAnsi="Times New Roman" w:cs="Times New Roman"/>
                <w:szCs w:val="24"/>
              </w:rPr>
              <w:t>1 марта 201</w:t>
            </w:r>
            <w:r>
              <w:rPr>
                <w:rFonts w:ascii="Times New Roman" w:eastAsia="Calibri" w:hAnsi="Times New Roman" w:cs="Times New Roman"/>
                <w:szCs w:val="24"/>
              </w:rPr>
              <w:t>7</w:t>
            </w:r>
            <w:r w:rsidR="00BF3028">
              <w:rPr>
                <w:rFonts w:ascii="Times New Roman" w:eastAsia="Calibri" w:hAnsi="Times New Roman" w:cs="Times New Roman"/>
                <w:szCs w:val="24"/>
              </w:rPr>
              <w:t xml:space="preserve"> г., 1</w:t>
            </w:r>
            <w:r>
              <w:rPr>
                <w:rFonts w:ascii="Times New Roman" w:eastAsia="Calibri" w:hAnsi="Times New Roman" w:cs="Times New Roman"/>
                <w:szCs w:val="24"/>
              </w:rPr>
              <w:t>0</w:t>
            </w:r>
            <w:r w:rsidR="00BF3028">
              <w:rPr>
                <w:rFonts w:ascii="Times New Roman" w:eastAsia="Calibri" w:hAnsi="Times New Roman" w:cs="Times New Roman"/>
                <w:szCs w:val="24"/>
              </w:rPr>
              <w:t>-00</w:t>
            </w:r>
            <w:r w:rsidR="00CA5F22" w:rsidRPr="00CA5F22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CA5F22" w:rsidRPr="00CA5F22" w:rsidTr="00CA5F22">
        <w:trPr>
          <w:trHeight w:val="360"/>
          <w:tblCellSpacing w:w="5" w:type="nil"/>
        </w:trPr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6.4</w:t>
            </w:r>
          </w:p>
        </w:tc>
        <w:tc>
          <w:tcPr>
            <w:tcW w:w="8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F22" w:rsidRPr="00CA5F22" w:rsidRDefault="00CA5F22" w:rsidP="00CB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 xml:space="preserve">Решение о выборе аудиторской организации утверждается общим собранием акционеров </w:t>
            </w:r>
            <w:r w:rsidR="00CB1A0F">
              <w:rPr>
                <w:rFonts w:ascii="Times New Roman" w:eastAsia="Calibri" w:hAnsi="Times New Roman" w:cs="Times New Roman"/>
                <w:szCs w:val="24"/>
              </w:rPr>
              <w:t>П</w:t>
            </w:r>
            <w:bookmarkStart w:id="0" w:name="_GoBack"/>
            <w:bookmarkEnd w:id="0"/>
            <w:r w:rsidR="00BF3028">
              <w:rPr>
                <w:rFonts w:ascii="Times New Roman" w:eastAsia="Calibri" w:hAnsi="Times New Roman" w:cs="Times New Roman"/>
                <w:szCs w:val="24"/>
              </w:rPr>
              <w:t>АО «Тульский оружейный завод»</w:t>
            </w:r>
          </w:p>
        </w:tc>
      </w:tr>
      <w:tr w:rsidR="00CA5F22" w:rsidRPr="00CA5F22" w:rsidTr="00CA5F22">
        <w:trPr>
          <w:trHeight w:val="540"/>
          <w:tblCellSpacing w:w="5" w:type="nil"/>
        </w:trPr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6.4</w:t>
            </w:r>
          </w:p>
        </w:tc>
        <w:tc>
          <w:tcPr>
            <w:tcW w:w="8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 xml:space="preserve">Срок, необходимый для подписания договора: </w:t>
            </w:r>
          </w:p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Не позднее 30 дней после утверждения победитель конкурса подписывает</w:t>
            </w:r>
            <w:r w:rsidR="00BF3028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CA5F22">
              <w:rPr>
                <w:rFonts w:ascii="Times New Roman" w:eastAsia="Calibri" w:hAnsi="Times New Roman" w:cs="Times New Roman"/>
                <w:szCs w:val="24"/>
              </w:rPr>
              <w:t>договор на проведение аудиторской проверки</w:t>
            </w:r>
          </w:p>
        </w:tc>
      </w:tr>
      <w:tr w:rsidR="00CA5F22" w:rsidRPr="00CA5F22" w:rsidTr="00CA5F22">
        <w:trPr>
          <w:trHeight w:val="900"/>
          <w:tblCellSpacing w:w="5" w:type="nil"/>
        </w:trPr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>6.5</w:t>
            </w:r>
          </w:p>
        </w:tc>
        <w:tc>
          <w:tcPr>
            <w:tcW w:w="8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F22" w:rsidRPr="00CA5F22" w:rsidRDefault="00CA5F22" w:rsidP="00CA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A5F22">
              <w:rPr>
                <w:rFonts w:ascii="Times New Roman" w:eastAsia="Calibri" w:hAnsi="Times New Roman" w:cs="Times New Roman"/>
                <w:szCs w:val="24"/>
              </w:rPr>
              <w:t xml:space="preserve">В случае если победитель конкурса не подписал договор в течение срока, указанного в пункте </w:t>
            </w:r>
            <w:hyperlink w:anchor="Par234" w:history="1">
              <w:r w:rsidRPr="00CA5F22">
                <w:rPr>
                  <w:rFonts w:ascii="Times New Roman" w:eastAsia="Calibri" w:hAnsi="Times New Roman" w:cs="Times New Roman"/>
                  <w:szCs w:val="24"/>
                </w:rPr>
                <w:t>6.4</w:t>
              </w:r>
            </w:hyperlink>
            <w:r w:rsidRPr="00CA5F22">
              <w:rPr>
                <w:rFonts w:ascii="Times New Roman" w:eastAsia="Calibri" w:hAnsi="Times New Roman" w:cs="Times New Roman"/>
                <w:szCs w:val="24"/>
              </w:rPr>
              <w:t xml:space="preserve"> Положения, Общество заключает договор с аудиторской организацией, занявшей второе место по результатам конкурса, направляя при этом соответствующее извещение победителю конкурса</w:t>
            </w:r>
          </w:p>
        </w:tc>
      </w:tr>
    </w:tbl>
    <w:p w:rsidR="00044EBE" w:rsidRDefault="00CB1A0F"/>
    <w:sectPr w:rsidR="00044EBE" w:rsidSect="003703BB">
      <w:pgSz w:w="11906" w:h="16838"/>
      <w:pgMar w:top="851" w:right="737" w:bottom="851" w:left="1134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F22"/>
    <w:rsid w:val="002F52C1"/>
    <w:rsid w:val="003703BB"/>
    <w:rsid w:val="003F36FF"/>
    <w:rsid w:val="004D678F"/>
    <w:rsid w:val="00827078"/>
    <w:rsid w:val="00A34073"/>
    <w:rsid w:val="00B654FB"/>
    <w:rsid w:val="00BF3028"/>
    <w:rsid w:val="00C72749"/>
    <w:rsid w:val="00CA5F22"/>
    <w:rsid w:val="00CB1A0F"/>
    <w:rsid w:val="00D5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3090</Words>
  <Characters>17616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t1</cp:lastModifiedBy>
  <cp:revision>2</cp:revision>
  <dcterms:created xsi:type="dcterms:W3CDTF">2017-01-26T08:06:00Z</dcterms:created>
  <dcterms:modified xsi:type="dcterms:W3CDTF">2017-01-26T08:06:00Z</dcterms:modified>
</cp:coreProperties>
</file>